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464B9" w14:textId="1F61064C" w:rsidR="00755739" w:rsidRPr="004D690E" w:rsidRDefault="004D690E" w:rsidP="004D690E">
      <w:pPr>
        <w:jc w:val="center"/>
        <w:rPr>
          <w:rFonts w:cs="Times New Roman (CS Gövde)"/>
          <w:b/>
          <w:bCs/>
          <w:caps/>
        </w:rPr>
      </w:pPr>
      <w:r w:rsidRPr="004D690E">
        <w:rPr>
          <w:rFonts w:cs="Times New Roman (CS Gövde)"/>
          <w:b/>
          <w:bCs/>
          <w:caps/>
        </w:rPr>
        <w:t>Erasmus+ KA171 Uluslararası Kredi Hareketliliği (ICM)</w:t>
      </w:r>
    </w:p>
    <w:p w14:paraId="408FB998" w14:textId="68E34552" w:rsidR="00603E2C" w:rsidRDefault="004D690E" w:rsidP="00603E2C">
      <w:pPr>
        <w:jc w:val="center"/>
        <w:rPr>
          <w:rFonts w:cs="Times New Roman (CS Gövde)"/>
          <w:b/>
          <w:bCs/>
          <w:caps/>
        </w:rPr>
      </w:pPr>
      <w:r w:rsidRPr="004D690E">
        <w:rPr>
          <w:rFonts w:cs="Times New Roman (CS Gövde)"/>
          <w:b/>
          <w:bCs/>
          <w:caps/>
        </w:rPr>
        <w:t>Bilgi Rehberi</w:t>
      </w:r>
    </w:p>
    <w:p w14:paraId="02B97D6B" w14:textId="77777777" w:rsidR="00603E2C" w:rsidRDefault="00603E2C" w:rsidP="004D690E">
      <w:pPr>
        <w:jc w:val="center"/>
        <w:rPr>
          <w:rFonts w:cs="Times New Roman (CS Gövde)"/>
          <w:b/>
          <w:bCs/>
          <w:caps/>
        </w:rPr>
      </w:pPr>
    </w:p>
    <w:p w14:paraId="4DD5E7A0" w14:textId="7E0720D4" w:rsidR="00FE5B7A" w:rsidRDefault="00FE5B7A" w:rsidP="0093609A">
      <w:pPr>
        <w:jc w:val="both"/>
        <w:rPr>
          <w:rFonts w:cs="Times New Roman (CS Gövde)"/>
        </w:rPr>
      </w:pPr>
      <w:r w:rsidRPr="00FE5B7A">
        <w:rPr>
          <w:rFonts w:cs="Times New Roman (CS Gövde)"/>
        </w:rPr>
        <w:t>KA</w:t>
      </w:r>
      <w:r w:rsidR="00E44EFB" w:rsidRPr="00FE5B7A">
        <w:rPr>
          <w:rFonts w:cs="Times New Roman (CS Gövde)"/>
        </w:rPr>
        <w:t>171, yükseköğretim</w:t>
      </w:r>
      <w:r w:rsidRPr="00FE5B7A">
        <w:rPr>
          <w:rFonts w:cs="Times New Roman (CS Gövde)"/>
        </w:rPr>
        <w:t xml:space="preserve"> öğrenci ve personeline “</w:t>
      </w:r>
      <w:r w:rsidRPr="00FE5B7A">
        <w:rPr>
          <w:rFonts w:cs="Times New Roman (CS Gövde)"/>
          <w:b/>
          <w:bCs/>
        </w:rPr>
        <w:t xml:space="preserve">programla ilişkili olmayan üçüncü </w:t>
      </w:r>
      <w:r w:rsidR="009F7761" w:rsidRPr="00FE5B7A">
        <w:rPr>
          <w:rFonts w:cs="Times New Roman (CS Gövde)"/>
          <w:b/>
          <w:bCs/>
        </w:rPr>
        <w:t>ülke</w:t>
      </w:r>
      <w:r w:rsidR="009F7761">
        <w:rPr>
          <w:rFonts w:cs="Times New Roman (CS Gövde)"/>
          <w:b/>
          <w:bCs/>
        </w:rPr>
        <w:t>ler</w:t>
      </w:r>
      <w:r w:rsidR="009F7761" w:rsidRPr="00FE5B7A">
        <w:rPr>
          <w:rFonts w:cs="Times New Roman (CS Gövde)"/>
          <w:b/>
          <w:bCs/>
        </w:rPr>
        <w:t>”</w:t>
      </w:r>
      <w:r w:rsidR="009F7761" w:rsidRPr="00FE5B7A">
        <w:rPr>
          <w:rFonts w:cs="Times New Roman (CS Gövde)"/>
        </w:rPr>
        <w:t xml:space="preserve"> (</w:t>
      </w:r>
      <w:r w:rsidRPr="00FE5B7A">
        <w:rPr>
          <w:rFonts w:cs="Times New Roman (CS Gövde)"/>
          <w:i/>
          <w:iCs/>
        </w:rPr>
        <w:t>AB üyesi 27 ülke ve AB üyesi olmayan program ülkeleri (İzlanda, Lihtenştayn, Makedonya, Norveç, Sırbistan ve Türkiye) dışında kalan neredeyse tüm ülkeler</w:t>
      </w:r>
      <w:r w:rsidRPr="00FE5B7A">
        <w:rPr>
          <w:rFonts w:cs="Times New Roman (CS Gövde)"/>
        </w:rPr>
        <w:t>) olarak adlandırılan bir ülkede öğrenme ya da mesleki deneyim edinme imkânı sunan bir proje çeşididir.</w:t>
      </w:r>
    </w:p>
    <w:p w14:paraId="35089017" w14:textId="34A50905" w:rsidR="009F7761" w:rsidRDefault="009F7761" w:rsidP="0093609A">
      <w:pPr>
        <w:jc w:val="both"/>
        <w:rPr>
          <w:rFonts w:cs="Times New Roman (CS Gövde)"/>
        </w:rPr>
      </w:pPr>
      <w:r>
        <w:rPr>
          <w:rFonts w:cs="Times New Roman (CS Gövde)"/>
        </w:rPr>
        <w:t>Avrupa Komisyonu KA171 kapsamında hareketlilik gerçekleştirilebilecek ülkeleri coğrafi olarak 12 Bölgede kategorize etmiştir.</w:t>
      </w:r>
    </w:p>
    <w:p w14:paraId="2ADCB976" w14:textId="0D509031" w:rsidR="009F7761" w:rsidRDefault="009F7761" w:rsidP="0093609A">
      <w:pPr>
        <w:jc w:val="both"/>
        <w:rPr>
          <w:rFonts w:cs="Times New Roman (CS Gövde)"/>
        </w:rPr>
      </w:pPr>
      <w:r>
        <w:rPr>
          <w:rFonts w:cs="Times New Roman (CS Gövde)"/>
        </w:rPr>
        <w:t>Bölgelere göre ülkeler aşağıdaki görsel üzerinden incelenebilir.</w:t>
      </w:r>
      <w:r w:rsidR="003D7DA5">
        <w:rPr>
          <w:rFonts w:cs="Times New Roman (CS Gövde)"/>
        </w:rPr>
        <w:t xml:space="preserve"> </w:t>
      </w:r>
    </w:p>
    <w:p w14:paraId="723A8EF2" w14:textId="2663EE5D" w:rsidR="009F7761" w:rsidRDefault="003D7DA5" w:rsidP="0093609A">
      <w:pPr>
        <w:jc w:val="both"/>
        <w:rPr>
          <w:rFonts w:cs="Times New Roman (CS Gövde)"/>
        </w:rPr>
      </w:pPr>
      <w:r>
        <w:rPr>
          <w:rFonts w:cs="Times New Roman (CS Gövde)"/>
          <w:noProof/>
        </w:rPr>
        <w:drawing>
          <wp:inline distT="0" distB="0" distL="0" distR="0" wp14:anchorId="62BC397A" wp14:editId="3061F1A0">
            <wp:extent cx="5760720" cy="3214370"/>
            <wp:effectExtent l="0" t="0" r="5080" b="0"/>
            <wp:docPr id="2086030808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030808" name="Resim 208603080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1B234" w14:textId="77777777" w:rsidR="003D7DA5" w:rsidRDefault="003D7DA5" w:rsidP="009F7761">
      <w:pPr>
        <w:ind w:firstLine="708"/>
        <w:jc w:val="both"/>
        <w:rPr>
          <w:rFonts w:cs="Times New Roman (CS Gövde)"/>
        </w:rPr>
      </w:pPr>
    </w:p>
    <w:p w14:paraId="28814563" w14:textId="77777777" w:rsidR="003D7DA5" w:rsidRDefault="00FE5B7A" w:rsidP="009F7761">
      <w:pPr>
        <w:ind w:firstLine="708"/>
        <w:jc w:val="both"/>
        <w:rPr>
          <w:rFonts w:cs="Times New Roman (CS Gövde)"/>
        </w:rPr>
      </w:pPr>
      <w:r>
        <w:rPr>
          <w:rFonts w:cs="Times New Roman (CS Gövde)"/>
        </w:rPr>
        <w:t>KA171 Proje</w:t>
      </w:r>
      <w:r w:rsidR="003D7DA5">
        <w:rPr>
          <w:rFonts w:cs="Times New Roman (CS Gövde)"/>
        </w:rPr>
        <w:t xml:space="preserve"> kategorisi </w:t>
      </w:r>
      <w:r>
        <w:rPr>
          <w:rFonts w:cs="Times New Roman (CS Gövde)"/>
        </w:rPr>
        <w:t xml:space="preserve">AB Dış Politika fonlarından destekleniyor olması sebebiyle </w:t>
      </w:r>
      <w:r w:rsidRPr="00FE5B7A">
        <w:rPr>
          <w:rFonts w:cs="Times New Roman (CS Gövde)"/>
        </w:rPr>
        <w:t>KA171 proje başvurusu yapılırken, hareketlilik gerçekleştirmek istenen ülke</w:t>
      </w:r>
      <w:r>
        <w:rPr>
          <w:rFonts w:cs="Times New Roman (CS Gövde)"/>
        </w:rPr>
        <w:t xml:space="preserve">ler/kurumlar </w:t>
      </w:r>
      <w:r w:rsidR="009F7761">
        <w:rPr>
          <w:rFonts w:cs="Times New Roman (CS Gövde)"/>
        </w:rPr>
        <w:t xml:space="preserve">özelinde </w:t>
      </w:r>
      <w:proofErr w:type="gramStart"/>
      <w:r w:rsidR="009F7761">
        <w:rPr>
          <w:rFonts w:cs="Times New Roman (CS Gövde)"/>
        </w:rPr>
        <w:t>işbirliğinin</w:t>
      </w:r>
      <w:proofErr w:type="gramEnd"/>
      <w:r>
        <w:rPr>
          <w:rFonts w:cs="Times New Roman (CS Gövde)"/>
        </w:rPr>
        <w:t xml:space="preserve"> stratejik olarak sebeplerinin belirtilmesi önemli olduğundan proje yazım süreçleri ve değerlendirme kriterleri</w:t>
      </w:r>
      <w:r w:rsidR="009F7761">
        <w:rPr>
          <w:rFonts w:cs="Times New Roman (CS Gövde)"/>
        </w:rPr>
        <w:t xml:space="preserve"> </w:t>
      </w:r>
      <w:r w:rsidR="003D7DA5">
        <w:rPr>
          <w:rFonts w:cs="Times New Roman (CS Gövde)"/>
        </w:rPr>
        <w:t>program ülkelerine yapılan hareketlilik projesi olan KA131’den oldukça farklıdır.</w:t>
      </w:r>
      <w:r>
        <w:rPr>
          <w:rFonts w:cs="Times New Roman (CS Gövde)"/>
        </w:rPr>
        <w:t xml:space="preserve"> </w:t>
      </w:r>
    </w:p>
    <w:p w14:paraId="5EA338FA" w14:textId="6023F04D" w:rsidR="006567DA" w:rsidRDefault="0093609A" w:rsidP="00932022">
      <w:pPr>
        <w:ind w:firstLine="708"/>
        <w:jc w:val="both"/>
      </w:pPr>
      <w:r>
        <w:rPr>
          <w:rFonts w:cs="Times New Roman (CS Gövde)"/>
        </w:rPr>
        <w:t xml:space="preserve">Proje kapsamında hareketlilik faaliyeti gerçekleştirilecek ülke ve kurumların başvuru aşamasında belirlenmesi ve projeye ilişkin soruların bu ülke/kurum ve talep eden bölüm özelinde yanıtlanması gerekir. </w:t>
      </w:r>
      <w:r w:rsidR="00FE5B7A" w:rsidRPr="00FE5B7A">
        <w:rPr>
          <w:rFonts w:cs="Times New Roman (CS Gövde)"/>
        </w:rPr>
        <w:t xml:space="preserve">Kurum adına Ulusal Ajansa başvuruyu </w:t>
      </w:r>
      <w:r w:rsidR="00FE5B7A" w:rsidRPr="0093609A">
        <w:rPr>
          <w:rFonts w:cs="Times New Roman (CS Gövde)"/>
          <w:b/>
          <w:bCs/>
        </w:rPr>
        <w:t>tek bir proje</w:t>
      </w:r>
      <w:r w:rsidR="00FE5B7A" w:rsidRPr="00FE5B7A">
        <w:rPr>
          <w:rFonts w:cs="Times New Roman (CS Gövde)"/>
        </w:rPr>
        <w:t xml:space="preserve"> halinde Erasmus Koordinatörlüğü </w:t>
      </w:r>
      <w:r w:rsidR="00FE5B7A">
        <w:rPr>
          <w:rFonts w:cs="Times New Roman (CS Gövde)"/>
        </w:rPr>
        <w:t xml:space="preserve">yaptığından, bölümlerden gelen </w:t>
      </w:r>
      <w:r>
        <w:rPr>
          <w:rFonts w:cs="Times New Roman (CS Gövde)"/>
        </w:rPr>
        <w:t xml:space="preserve">talepleri, proje sorularına yanıt vermesi beklenen formlar aracılığıyla toplayarak, değerlendirdikten sonra </w:t>
      </w:r>
      <w:proofErr w:type="gramStart"/>
      <w:r>
        <w:rPr>
          <w:rFonts w:cs="Times New Roman (CS Gövde)"/>
        </w:rPr>
        <w:t>konsolide</w:t>
      </w:r>
      <w:r w:rsidR="00932022">
        <w:rPr>
          <w:rFonts w:cs="Times New Roman (CS Gövde)"/>
        </w:rPr>
        <w:t xml:space="preserve"> </w:t>
      </w:r>
      <w:r>
        <w:rPr>
          <w:rFonts w:cs="Times New Roman (CS Gövde)"/>
        </w:rPr>
        <w:t>eder</w:t>
      </w:r>
      <w:proofErr w:type="gramEnd"/>
      <w:r>
        <w:rPr>
          <w:rFonts w:cs="Times New Roman (CS Gövde)"/>
        </w:rPr>
        <w:t>.</w:t>
      </w:r>
      <w:r w:rsidR="003D7DA5">
        <w:rPr>
          <w:rFonts w:cs="Times New Roman (CS Gövde)"/>
        </w:rPr>
        <w:t xml:space="preserve"> </w:t>
      </w:r>
      <w:r w:rsidR="006567DA">
        <w:rPr>
          <w:rFonts w:cs="Times New Roman (CS Gövde)"/>
        </w:rPr>
        <w:t xml:space="preserve">Projenin kalite değerlendirmesi, Proje Tasarımı ve </w:t>
      </w:r>
      <w:proofErr w:type="gramStart"/>
      <w:r w:rsidR="006567DA">
        <w:rPr>
          <w:rFonts w:cs="Times New Roman (CS Gövde)"/>
        </w:rPr>
        <w:t>İşbirliği</w:t>
      </w:r>
      <w:proofErr w:type="gramEnd"/>
      <w:r w:rsidR="006567DA">
        <w:rPr>
          <w:rFonts w:cs="Times New Roman (CS Gövde)"/>
        </w:rPr>
        <w:t xml:space="preserve"> Düzenlemelerinin Kalitesi, Stratejinin İlgililiği, Etki ve Yaygınlaştırma başlıkları üzerinden yapılmaktadır. </w:t>
      </w:r>
      <w:r w:rsidR="006567DA" w:rsidRPr="006567DA">
        <w:t>KA171 Proje Hazırlık Formu</w:t>
      </w:r>
      <w:r w:rsidR="006567DA">
        <w:t xml:space="preserve"> ve</w:t>
      </w:r>
      <w:r w:rsidR="006567DA" w:rsidRPr="006567DA">
        <w:t xml:space="preserve"> KA171 Partner </w:t>
      </w:r>
      <w:proofErr w:type="spellStart"/>
      <w:r w:rsidR="006567DA" w:rsidRPr="006567DA">
        <w:t>Institution</w:t>
      </w:r>
      <w:proofErr w:type="spellEnd"/>
      <w:r w:rsidR="006567DA" w:rsidRPr="006567DA">
        <w:t xml:space="preserve"> Information </w:t>
      </w:r>
      <w:proofErr w:type="spellStart"/>
      <w:r w:rsidR="006567DA" w:rsidRPr="006567DA">
        <w:t>Sheet</w:t>
      </w:r>
      <w:proofErr w:type="spellEnd"/>
      <w:r w:rsidR="006567DA" w:rsidRPr="006567DA">
        <w:t xml:space="preserve"> temel olarak bu başlıklarla ilişkili sorular üzerinden hazırlanmış</w:t>
      </w:r>
      <w:r w:rsidR="006567DA">
        <w:t>tır.</w:t>
      </w:r>
    </w:p>
    <w:p w14:paraId="66934C1F" w14:textId="77777777" w:rsidR="00A05E0B" w:rsidRDefault="00A05E0B" w:rsidP="00932022">
      <w:pPr>
        <w:ind w:firstLine="708"/>
        <w:jc w:val="both"/>
      </w:pPr>
    </w:p>
    <w:p w14:paraId="03E1347D" w14:textId="71A75E7F" w:rsidR="00A05E0B" w:rsidRDefault="00A05E0B" w:rsidP="00A05E0B">
      <w:pPr>
        <w:jc w:val="both"/>
      </w:pPr>
      <w:r>
        <w:t xml:space="preserve">Proje kapsamında ortaklığa uygun olmayan kurumlar listesi </w:t>
      </w:r>
      <w:r>
        <w:t>aşağıdaki linkte paylaşılmıştır:</w:t>
      </w:r>
    </w:p>
    <w:p w14:paraId="57BE12AE" w14:textId="77777777" w:rsidR="00A05E0B" w:rsidRPr="00932022" w:rsidRDefault="00A05E0B" w:rsidP="00A05E0B">
      <w:pPr>
        <w:jc w:val="both"/>
      </w:pPr>
      <w:r w:rsidRPr="00A05E0B">
        <w:t>https://www.ua.gov.tr/media/ovvbguvv/ka171-uygun-olmayan-ortaklar.pdf</w:t>
      </w:r>
    </w:p>
    <w:p w14:paraId="5DDE22C5" w14:textId="16EDCB0F" w:rsidR="00A05E0B" w:rsidRDefault="00A05E0B" w:rsidP="00932022">
      <w:pPr>
        <w:ind w:firstLine="708"/>
        <w:jc w:val="both"/>
      </w:pPr>
      <w:r>
        <w:lastRenderedPageBreak/>
        <w:t>Karşı kurumlarla planlanan hareketliliklerdeki kısıtlamalar için aşağıdaki görselin incelenerek, hareketlilik yön ve sayılarının belirlenmesi uygun olacaktır.</w:t>
      </w:r>
    </w:p>
    <w:p w14:paraId="25E2DBEE" w14:textId="7C9E6956" w:rsidR="006567DA" w:rsidRDefault="00A05E0B" w:rsidP="006567DA">
      <w:pPr>
        <w:jc w:val="both"/>
      </w:pPr>
      <w:r>
        <w:rPr>
          <w:noProof/>
        </w:rPr>
        <w:drawing>
          <wp:inline distT="0" distB="0" distL="0" distR="0" wp14:anchorId="643BF8EF" wp14:editId="3B93CE66">
            <wp:extent cx="5760387" cy="3254753"/>
            <wp:effectExtent l="0" t="0" r="5715" b="0"/>
            <wp:docPr id="101194585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945854" name="Resim 101194585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27" b="10208"/>
                    <a:stretch/>
                  </pic:blipFill>
                  <pic:spPr bwMode="auto">
                    <a:xfrm>
                      <a:off x="0" y="0"/>
                      <a:ext cx="5760720" cy="32549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AE6512" w14:textId="77777777" w:rsidR="00A05E0B" w:rsidRDefault="00A05E0B" w:rsidP="00932022">
      <w:pPr>
        <w:jc w:val="both"/>
      </w:pPr>
    </w:p>
    <w:p w14:paraId="7F3832A6" w14:textId="3BDC40CA" w:rsidR="00603E2C" w:rsidRDefault="00932022" w:rsidP="00932022">
      <w:pPr>
        <w:jc w:val="both"/>
      </w:pPr>
      <w:r>
        <w:t xml:space="preserve">Türkiye Ulusal Ajansı tarafından 2025 Teklif Çağrısı Dönemi için proje </w:t>
      </w:r>
      <w:proofErr w:type="gramStart"/>
      <w:r>
        <w:t>özelinde  paylaşılacak</w:t>
      </w:r>
      <w:proofErr w:type="gramEnd"/>
      <w:r>
        <w:t xml:space="preserve"> bilgilendirme sunumları web sitemiz üzerinden Aralık ayının son haftasında yayınlanacaktır.</w:t>
      </w:r>
    </w:p>
    <w:sectPr w:rsidR="00603E2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BF406" w14:textId="77777777" w:rsidR="00D96BFB" w:rsidRDefault="00D96BFB" w:rsidP="009F7761">
      <w:r>
        <w:separator/>
      </w:r>
    </w:p>
  </w:endnote>
  <w:endnote w:type="continuationSeparator" w:id="0">
    <w:p w14:paraId="13D9B8F2" w14:textId="77777777" w:rsidR="00D96BFB" w:rsidRDefault="00D96BFB" w:rsidP="009F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CS Gövde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8B0CC" w14:textId="77777777" w:rsidR="009F7761" w:rsidRDefault="009F77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F9AB8" w14:textId="77777777" w:rsidR="00D96BFB" w:rsidRDefault="00D96BFB" w:rsidP="009F7761">
      <w:r>
        <w:separator/>
      </w:r>
    </w:p>
  </w:footnote>
  <w:footnote w:type="continuationSeparator" w:id="0">
    <w:p w14:paraId="6BA8186A" w14:textId="77777777" w:rsidR="00D96BFB" w:rsidRDefault="00D96BFB" w:rsidP="009F7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52083"/>
    <w:multiLevelType w:val="hybridMultilevel"/>
    <w:tmpl w:val="EEBEA0EE"/>
    <w:lvl w:ilvl="0" w:tplc="7116DA94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42B1E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0CBCB8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36C9B0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1A9A38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60549E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ECEFC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F89384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148024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85B45"/>
    <w:multiLevelType w:val="hybridMultilevel"/>
    <w:tmpl w:val="7CF418CA"/>
    <w:lvl w:ilvl="0" w:tplc="6B4E0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9BD83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AD46D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C6CAD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AEE88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9F0C2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106E9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D1A68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3B2ED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num w:numId="1" w16cid:durableId="1043796702">
    <w:abstractNumId w:val="1"/>
  </w:num>
  <w:num w:numId="2" w16cid:durableId="82709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2F"/>
    <w:rsid w:val="003D7DA5"/>
    <w:rsid w:val="00457AC9"/>
    <w:rsid w:val="004D690E"/>
    <w:rsid w:val="00603E2C"/>
    <w:rsid w:val="006567DA"/>
    <w:rsid w:val="00755739"/>
    <w:rsid w:val="0091519D"/>
    <w:rsid w:val="00932022"/>
    <w:rsid w:val="0093609A"/>
    <w:rsid w:val="009F7761"/>
    <w:rsid w:val="00A05E0B"/>
    <w:rsid w:val="00D96BFB"/>
    <w:rsid w:val="00E2762F"/>
    <w:rsid w:val="00E44EFB"/>
    <w:rsid w:val="00E65B81"/>
    <w:rsid w:val="00FE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1CEA01"/>
  <w15:chartTrackingRefBased/>
  <w15:docId w15:val="{0C23CA6B-1171-7B41-8C02-83BA5EE3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27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27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276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27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276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276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276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276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276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276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276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276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2762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2762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2762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2762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2762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2762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276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27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276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27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276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2762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2762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2762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27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2762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2762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9F776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F7761"/>
  </w:style>
  <w:style w:type="paragraph" w:styleId="AltBilgi">
    <w:name w:val="footer"/>
    <w:basedOn w:val="Normal"/>
    <w:link w:val="AltBilgiChar"/>
    <w:uiPriority w:val="99"/>
    <w:unhideWhenUsed/>
    <w:rsid w:val="009F776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7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17900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843">
          <w:marLeft w:val="475"/>
          <w:marRight w:val="14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1993">
          <w:marLeft w:val="475"/>
          <w:marRight w:val="14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1606">
          <w:marLeft w:val="475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4519">
          <w:marLeft w:val="475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358">
          <w:marLeft w:val="475"/>
          <w:marRight w:val="14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1968">
          <w:marLeft w:val="475"/>
          <w:marRight w:val="14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7649">
          <w:marLeft w:val="475"/>
          <w:marRight w:val="14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072">
          <w:marLeft w:val="475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30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Seçkiner</dc:creator>
  <cp:keywords/>
  <dc:description/>
  <cp:lastModifiedBy>Neslihan Seçkiner</cp:lastModifiedBy>
  <cp:revision>5</cp:revision>
  <dcterms:created xsi:type="dcterms:W3CDTF">2024-12-13T08:30:00Z</dcterms:created>
  <dcterms:modified xsi:type="dcterms:W3CDTF">2024-12-13T12:46:00Z</dcterms:modified>
</cp:coreProperties>
</file>